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right"/>
        <w:rPr>
          <w:sz w:val="2"/>
          <w:szCs w:val="2"/>
        </w:rPr>
      </w:pPr>
      <w:r>
        <w:drawing>
          <wp:inline>
            <wp:extent cx="956945" cy="34734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56945" cy="3473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370232 009317</w:t>
      </w:r>
    </w:p>
    <w:p>
      <w:pPr>
        <w:widowControl w:val="0"/>
        <w:spacing w:after="1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Новое в законодательстве на 16.11.2023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Федеральный закон от 14 ноября 2023 г.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536-ФЗ "О внесении изменения в статью 333.36 части второй Налогового кодекса Российской Федерации”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Детских омбудсменов освободили от уплаты госпошлины при обращении в суд.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Подписан закон об освобождении уполномоченных по правам ребенка в регионах от уплаты госпошлины при обращении в суд.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вступает в силу через месяц после официального опубликования.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Федеральный закон от 14 ноября 2023 г.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535-ФЗ "О внесении изменений в Федеральный закон ”О почтовой связи” и отдельные законодательные акты Российской Федерации”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Президент подписал закон о спецпочте.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Установлены основы деятельности в области специальной почтовой связи. Введено определение данного вида связи, закреплены правовой статус уполномоченной организации, требования к транспортным средствам и работникам спецсвязи.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Услуги спецпочты включают прием, перевозку и вручение материалов, содержащих гостайну, драгоценных металлов и камней, ювелирных изделий, российских денег и инвалюты, оружия, патронов к нему, боеприпасов, продукции военного назначения, вооружения и военной техники, взрывчатых веществ и взрывных устройств, наркотических средств, психотропных веществ и их прекурсоров, защищенной от подделок полиграфической продукции.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Автомобили спецпочты в качестве отличительных знаков имеют белую продольную полосу, эмблему. При этом организация вправе использовать транспорт без отличительных символов. Предусмотрена возможность оборудования транспортных средств проблесковыми маячками бело-лунного цвета и специальными звуковыми сигналами. Такие автомобили могут беспрепятственно проезжать по всем улицам населенных пунктов и дорогам страны, а также заправляться горючим вне очереди наряду с автомобилями оперативных и специальных служб. Закон вступает в силу с 1 апреля 2024 г.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Федеральный закон ог 14 ноября 2023 г.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533-ФЗ "О внесении изменений в сгатыо 217 части второй Налогового кодекса Российской Федерации”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Получателей региональных и местных грантов, премий и подарков освободили от НДФЛ.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НК РФ внесены поправки, которыми с 2024 г. от НДФЛ освобождаются: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5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гранты, премии, призы и подарки, полученные на региональных и местных соревнованиях и конкурсах;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0" w:h="16840"/>
          <w:pgMar w:top="325" w:left="1726" w:right="746" w:bottom="268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Прокуратура Калужской области</w:t>
        <w:br/>
        <w:t>№ Вн-20290031-2499-23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22" w:val="left"/>
        </w:tabs>
        <w:bidi w:val="0"/>
        <w:spacing w:before="0" w:after="0" w:line="259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средства, полученные из региональных и местных бюджетов на проезд до места проведения указанных мероприятий и обратно, а также на питание и проживание;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3" w:val="left"/>
        </w:tabs>
        <w:bidi w:val="0"/>
        <w:spacing w:before="0" w:after="0" w:line="259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единовременная выплата в связи с награждением орденом или медалью ордена "Родительская слава", а также в связи с присвоением звания "Мать- героиня".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 w:line="259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вступает в силу со дня официального опубликования, за исключением отдельных положений, для которых предусмотрен иной срок введения в действие.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Федеральный закон от 14 ноября 2023 г.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531-ФЗ "О внесении изменений в Федеральный закон ”06 основных гарантиях избирательных прав и права на участие в референдуме граждан Российской Федерации” и статью 1 Федерального закона "О контрактной системе в сфере закупок товаров, работ, услуг для обеспечения государственных и муниципальных нужд"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законодательство ввели нормы о выборах в условиях военного положения.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Закон об основных гарантиях избирательных прав внесены изменения, устанавливающие особенности проведения выборов на территориях, где введено военное положение.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Так, решение о проведении выборов федерального уровня будет принимать ЦИК после консультаций с Минобороны, ФСБ и главой региона. Возможно сокращение сроков избирательных действий.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Федеральный закон от 14 ноября 2023 г.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530-ФЗ "О внесении изменений в Федеральный закон "О выборах Президента Российской Федерации"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Нормы о выборах Президента приведены в соответствие с ранее внесенными изменениями в федеральные законы.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ЦИК может устанавливать особенности подготовки и проведения выборов Президента в период действия военного положения на части территории России.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избирательных участках, образованных за границей, продолжительность голосования можно изменить, если его проведение угрожает жизни и здоровью граждан России.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Фото- и видеосъемку на избирательных участках могут вести только лица, имеющие на это право в соответствии с законом.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появлении судимости у зарегистрированного кандидата сведения об этом нужно представить в письменной форме в избирательную комиссию. Подготовку и проведение выборов можно софинансировать из региональных и местных бюджетов.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Получить аккредитацию для присутствия на заседаниях избирательных комиссий при установлении итогов, определении результатов и подсчете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голосов могут только представители СМИ. работающие в редакциях на основании трудового договора.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Закон вступает в силу со дня официального опубликования.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Распоряжение Правительства РФ от 10 ноября 2023 г.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3147-р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Правительство определило параметры очередного повышения цен на ЖКУ.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6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Утверждены индексы изменения платы за коммунальные услуги на 2024-2028 гг. Первая индексация пройдет во II полугодии 2024 г. и в большинстве регионов составит около 9-10%. Как пояснило Минэкономразвития, у средней российской семьи размер платы вырастет на 500-550 руб.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Постановление Конституционного Суда РФ ог 13 ноября 2023 г.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52-П "По делу о проверке конституционности пункта 2 примечаний к статье 222.1 Уголовного кодекса Российской Федерации в связи с запросом Вичугского городского суда Ивановской области"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КС РФ разъяснил вопросы об ответственности за незаконные действия с порохом для гражданского оружия.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Оспаривались нормы, касающиеся ответственности за незаконные действия со взрывчатыми веществами.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запросом обратился суд, рассматривающий уголовное дело о хранении и сбыте пороха для охотничьего оружия. Как указал заявитель, нормы, закрепляя понятие "взрывчатые вещества", позволяют привлечь к ответственности лицо, которое ранее до совершения вменяемого деяния законно приобрело такой порох для снаряжения патронов. КС РФ счел положения конституционными.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Нормы не разграничивают наказание в зависимости от вида взрывчатых веществ, их количества и качества, других обстоятельств. Значительные санкции введены с учетом возможности использовать подобные вещества в террористической и другой аналогичной деятельности. Данный подход не противоречит Конституции РФ.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Порох, предназначенный для самостоятельного снаряжения патронов к гражданскому длинноствольному оружию, относится к взрывчатым веществам. При сомнениях проводят экспертизу.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этом суды могут обеспечивать справедливость и соразмерность оценки содеянного. Такое возможно и в ситуации, когда упомянутый порох, ранее приобретенный законно, затем неправомерно хранился или был сбыт в количестве, явно предназначенном для личных целей, что не вызывает сомнений.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этом случае суды могут рассмотреть вопрос о малозначительности инкриминируемого деяния; назначить более мягкое наказание, в т. ч. ниже низшего предела; изменить категорию преступления на менее тяжкую; применить условное осуждение.</w:t>
      </w:r>
    </w:p>
    <w:sectPr>
      <w:headerReference w:type="default" r:id="rId7"/>
      <w:footnotePr>
        <w:pos w:val="pageBottom"/>
        <w:numFmt w:val="decimal"/>
        <w:numRestart w:val="continuous"/>
      </w:footnotePr>
      <w:pgSz w:w="11900" w:h="16840"/>
      <w:pgMar w:top="1266" w:left="1703" w:right="742" w:bottom="1337" w:header="0" w:footer="90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4062095</wp:posOffset>
              </wp:positionH>
              <wp:positionV relativeFrom="page">
                <wp:posOffset>499110</wp:posOffset>
              </wp:positionV>
              <wp:extent cx="54610" cy="9144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9.85000000000002pt;margin-top:39.299999999999997pt;width:4.2999999999999998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Основной текст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Колонтитул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spacing w:after="240" w:line="295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Колонтитул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